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6DFF" w14:textId="77777777" w:rsidR="00BB4E71" w:rsidRDefault="008E6734">
      <w:pPr>
        <w:jc w:val="center"/>
        <w:rPr>
          <w:rFonts w:ascii="Calibri" w:eastAsia="Calibri" w:hAnsi="Calibri" w:cs="Calibri"/>
          <w:b/>
          <w:sz w:val="36"/>
          <w:szCs w:val="36"/>
        </w:rPr>
      </w:pPr>
      <w:r>
        <w:rPr>
          <w:b/>
          <w:noProof/>
          <w:sz w:val="36"/>
          <w:szCs w:val="36"/>
        </w:rPr>
        <w:drawing>
          <wp:inline distT="114300" distB="114300" distL="114300" distR="114300" wp14:anchorId="1A388A32" wp14:editId="061A4FD3">
            <wp:extent cx="1220707" cy="1243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20707" cy="1243013"/>
                    </a:xfrm>
                    <a:prstGeom prst="rect">
                      <a:avLst/>
                    </a:prstGeom>
                    <a:ln/>
                  </pic:spPr>
                </pic:pic>
              </a:graphicData>
            </a:graphic>
          </wp:inline>
        </w:drawing>
      </w:r>
    </w:p>
    <w:p w14:paraId="3FBAC6C6" w14:textId="77777777" w:rsidR="00BB4E71" w:rsidRDefault="008E6734">
      <w:pPr>
        <w:pBdr>
          <w:top w:val="nil"/>
          <w:left w:val="nil"/>
          <w:bottom w:val="nil"/>
          <w:right w:val="nil"/>
          <w:between w:val="nil"/>
        </w:pBdr>
        <w:jc w:val="center"/>
        <w:rPr>
          <w:rFonts w:ascii="Calibri" w:eastAsia="Calibri" w:hAnsi="Calibri" w:cs="Calibri"/>
          <w:b/>
          <w:color w:val="000000"/>
          <w:sz w:val="36"/>
          <w:szCs w:val="36"/>
        </w:rPr>
      </w:pPr>
      <w:bookmarkStart w:id="0" w:name="_heading=h.p4y2kut6qdf" w:colFirst="0" w:colLast="0"/>
      <w:bookmarkEnd w:id="0"/>
      <w:r>
        <w:rPr>
          <w:rFonts w:ascii="Calibri" w:eastAsia="Calibri" w:hAnsi="Calibri" w:cs="Calibri"/>
          <w:b/>
          <w:color w:val="000000"/>
          <w:sz w:val="36"/>
          <w:szCs w:val="36"/>
        </w:rPr>
        <w:t xml:space="preserve">Prevent Duty and Radicalisation policy </w:t>
      </w:r>
    </w:p>
    <w:p w14:paraId="7B686C6C" w14:textId="77777777" w:rsidR="00BB4E71" w:rsidRDefault="00BB4E71">
      <w:pPr>
        <w:rPr>
          <w:rFonts w:ascii="Calibri" w:eastAsia="Calibri" w:hAnsi="Calibri" w:cs="Calibri"/>
        </w:rPr>
      </w:pPr>
    </w:p>
    <w:tbl>
      <w:tblPr>
        <w:tblStyle w:val="a1"/>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BB4E71" w14:paraId="5A565A43" w14:textId="77777777">
        <w:trPr>
          <w:trHeight w:val="200"/>
          <w:jc w:val="center"/>
        </w:trPr>
        <w:tc>
          <w:tcPr>
            <w:tcW w:w="3081" w:type="dxa"/>
            <w:vAlign w:val="center"/>
          </w:tcPr>
          <w:p w14:paraId="70146AE9" w14:textId="77777777" w:rsidR="00BB4E71" w:rsidRDefault="008E6734">
            <w:pPr>
              <w:jc w:val="center"/>
              <w:rPr>
                <w:rFonts w:ascii="Calibri" w:eastAsia="Calibri" w:hAnsi="Calibri" w:cs="Calibri"/>
                <w:color w:val="000000"/>
                <w:sz w:val="22"/>
                <w:szCs w:val="22"/>
              </w:rPr>
            </w:pPr>
            <w:r>
              <w:rPr>
                <w:rFonts w:ascii="Calibri" w:eastAsia="Calibri" w:hAnsi="Calibri" w:cs="Calibri"/>
                <w:color w:val="000000"/>
                <w:sz w:val="20"/>
                <w:szCs w:val="20"/>
              </w:rPr>
              <w:t>EYFS: 3.1-3.8-</w:t>
            </w:r>
          </w:p>
        </w:tc>
      </w:tr>
    </w:tbl>
    <w:p w14:paraId="3DD1B2A7" w14:textId="77777777" w:rsidR="00BB4E71" w:rsidRDefault="00BB4E71">
      <w:pPr>
        <w:rPr>
          <w:rFonts w:ascii="Calibri" w:eastAsia="Calibri" w:hAnsi="Calibri" w:cs="Calibri"/>
          <w:i/>
        </w:rPr>
      </w:pPr>
    </w:p>
    <w:p w14:paraId="30BF833D" w14:textId="77777777" w:rsidR="00BB4E71" w:rsidRDefault="008E6734">
      <w:pPr>
        <w:rPr>
          <w:b/>
          <w:i/>
          <w:sz w:val="20"/>
          <w:szCs w:val="20"/>
        </w:rPr>
      </w:pPr>
      <w:r>
        <w:rPr>
          <w:b/>
          <w:i/>
          <w:sz w:val="20"/>
          <w:szCs w:val="20"/>
        </w:rPr>
        <w:t>Date of Last Review: 06/10/2023</w:t>
      </w:r>
    </w:p>
    <w:p w14:paraId="3E1A9B72" w14:textId="77777777" w:rsidR="00BB4E71" w:rsidRDefault="008E6734">
      <w:pPr>
        <w:rPr>
          <w:b/>
          <w:i/>
          <w:sz w:val="20"/>
          <w:szCs w:val="20"/>
        </w:rPr>
      </w:pPr>
      <w:r>
        <w:rPr>
          <w:b/>
          <w:i/>
          <w:sz w:val="20"/>
          <w:szCs w:val="20"/>
        </w:rPr>
        <w:t>Date for Next Review: 06/10/2025 (unless legislation changes)</w:t>
      </w:r>
    </w:p>
    <w:p w14:paraId="1DCA278D" w14:textId="77777777" w:rsidR="00BB4E71" w:rsidRDefault="008E6734">
      <w:pPr>
        <w:rPr>
          <w:rFonts w:ascii="Calibri" w:eastAsia="Calibri" w:hAnsi="Calibri" w:cs="Calibri"/>
        </w:rPr>
      </w:pPr>
      <w:r>
        <w:rPr>
          <w:b/>
          <w:i/>
          <w:sz w:val="20"/>
          <w:szCs w:val="20"/>
        </w:rPr>
        <w:t xml:space="preserve">Trigger is In Place For Next Review </w:t>
      </w:r>
    </w:p>
    <w:p w14:paraId="6F5C1C78" w14:textId="77777777" w:rsidR="00BB4E71" w:rsidRDefault="008E6734">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3BBD160A" w14:textId="77777777" w:rsidR="00BB4E71" w:rsidRDefault="00BB4E71">
      <w:pPr>
        <w:rPr>
          <w:rFonts w:ascii="Calibri" w:eastAsia="Calibri" w:hAnsi="Calibri" w:cs="Calibri"/>
          <w:b/>
          <w:sz w:val="32"/>
          <w:szCs w:val="32"/>
        </w:rPr>
      </w:pPr>
    </w:p>
    <w:p w14:paraId="60034D6E" w14:textId="77777777" w:rsidR="00BB4E71" w:rsidRDefault="008E6734">
      <w:pPr>
        <w:keepNext/>
        <w:rPr>
          <w:rFonts w:ascii="Calibri" w:eastAsia="Calibri" w:hAnsi="Calibri" w:cs="Calibri"/>
          <w:color w:val="000000"/>
        </w:rPr>
      </w:pPr>
      <w:r>
        <w:rPr>
          <w:rFonts w:ascii="Calibri" w:eastAsia="Calibri" w:hAnsi="Calibri" w:cs="Calibri"/>
          <w:b/>
          <w:color w:val="000000"/>
        </w:rPr>
        <w:t xml:space="preserve">Extremism – the Prevent Duty </w:t>
      </w:r>
    </w:p>
    <w:p w14:paraId="79BE5FF5" w14:textId="77777777" w:rsidR="00BB4E71" w:rsidRDefault="008E6734">
      <w:pPr>
        <w:rPr>
          <w:rFonts w:ascii="Calibri" w:eastAsia="Calibri" w:hAnsi="Calibri" w:cs="Calibri"/>
          <w:i/>
          <w:color w:val="000000"/>
        </w:rPr>
      </w:pPr>
      <w:r>
        <w:rPr>
          <w:rFonts w:ascii="Calibri" w:eastAsia="Calibri" w:hAnsi="Calibri" w:cs="Calibri"/>
          <w:color w:val="000000"/>
        </w:rPr>
        <w:t xml:space="preserve">Working Together to Safeguard Children (2018) defines extremism. It states </w:t>
      </w:r>
      <w:r>
        <w:rPr>
          <w:rFonts w:ascii="Calibri" w:eastAsia="Calibri" w:hAnsi="Calibri" w:cs="Calibri"/>
          <w:i/>
          <w:color w:val="000000"/>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17742288" w14:textId="77777777" w:rsidR="00BB4E71" w:rsidRDefault="00BB4E71">
      <w:pPr>
        <w:rPr>
          <w:rFonts w:ascii="Calibri" w:eastAsia="Calibri" w:hAnsi="Calibri" w:cs="Calibri"/>
          <w:i/>
          <w:color w:val="000000"/>
        </w:rPr>
      </w:pPr>
    </w:p>
    <w:p w14:paraId="5D5D7DDE" w14:textId="77777777" w:rsidR="00BB4E71" w:rsidRDefault="008E6734">
      <w:pPr>
        <w:rPr>
          <w:rFonts w:ascii="Calibri" w:eastAsia="Calibri" w:hAnsi="Calibri" w:cs="Calibri"/>
          <w:i/>
          <w:color w:val="000000"/>
        </w:rPr>
      </w:pPr>
      <w:r>
        <w:rPr>
          <w:rFonts w:ascii="Calibri" w:eastAsia="Calibri" w:hAnsi="Calibri" w:cs="Calibri"/>
          <w:i/>
          <w:color w:val="000000"/>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66B28BE8" w14:textId="77777777" w:rsidR="00BB4E71" w:rsidRDefault="00BB4E71">
      <w:pPr>
        <w:rPr>
          <w:rFonts w:ascii="Calibri" w:eastAsia="Calibri" w:hAnsi="Calibri" w:cs="Calibri"/>
          <w:color w:val="000000"/>
        </w:rPr>
      </w:pPr>
    </w:p>
    <w:p w14:paraId="6AAE3073" w14:textId="77777777" w:rsidR="00BB4E71" w:rsidRDefault="008E6734">
      <w:pPr>
        <w:rPr>
          <w:rFonts w:ascii="Calibri" w:eastAsia="Calibri" w:hAnsi="Calibri" w:cs="Calibri"/>
          <w:color w:val="000000"/>
        </w:rPr>
      </w:pPr>
      <w:r>
        <w:rPr>
          <w:rFonts w:ascii="Calibri" w:eastAsia="Calibri" w:hAnsi="Calibri" w:cs="Calibri"/>
          <w:color w:val="000000"/>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37859E91" w14:textId="77777777" w:rsidR="00BB4E71" w:rsidRDefault="00BB4E71">
      <w:pPr>
        <w:rPr>
          <w:rFonts w:ascii="Calibri" w:eastAsia="Calibri" w:hAnsi="Calibri" w:cs="Calibri"/>
          <w:color w:val="000000"/>
        </w:rPr>
      </w:pPr>
    </w:p>
    <w:p w14:paraId="1C210502" w14:textId="77777777" w:rsidR="00BB4E71" w:rsidRDefault="008E6734">
      <w:pPr>
        <w:rPr>
          <w:rFonts w:ascii="Calibri" w:eastAsia="Calibri" w:hAnsi="Calibri" w:cs="Calibri"/>
          <w:color w:val="000000"/>
        </w:rPr>
      </w:pPr>
      <w:r>
        <w:rPr>
          <w:rFonts w:ascii="Calibri" w:eastAsia="Calibri" w:hAnsi="Calibri" w:cs="Calibri"/>
          <w:color w:val="000000"/>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39C9D985" w14:textId="77777777" w:rsidR="00BB4E71" w:rsidRDefault="00BB4E71">
      <w:pPr>
        <w:rPr>
          <w:rFonts w:ascii="Calibri" w:eastAsia="Calibri" w:hAnsi="Calibri" w:cs="Calibri"/>
          <w:color w:val="000000"/>
        </w:rPr>
      </w:pPr>
    </w:p>
    <w:p w14:paraId="0FAA9B36" w14:textId="77777777" w:rsidR="00BB4E71" w:rsidRDefault="008E6734">
      <w:pPr>
        <w:rPr>
          <w:rFonts w:ascii="Calibri" w:eastAsia="Calibri" w:hAnsi="Calibri" w:cs="Calibri"/>
          <w:color w:val="000000"/>
        </w:rPr>
      </w:pPr>
      <w:r>
        <w:rPr>
          <w:rFonts w:ascii="Calibri" w:eastAsia="Calibri" w:hAnsi="Calibri" w:cs="Calibri"/>
          <w:color w:val="000000"/>
        </w:rPr>
        <w:t>Radicalisation is a form of harm. The process may involve:</w:t>
      </w:r>
    </w:p>
    <w:p w14:paraId="1F111C91" w14:textId="77777777" w:rsidR="00BB4E71" w:rsidRDefault="008E6734">
      <w:pPr>
        <w:rPr>
          <w:rFonts w:ascii="Calibri" w:eastAsia="Calibri" w:hAnsi="Calibri" w:cs="Calibri"/>
          <w:color w:val="000000"/>
        </w:rPr>
      </w:pPr>
      <w:r>
        <w:rPr>
          <w:rFonts w:ascii="Calibri" w:eastAsia="Calibri" w:hAnsi="Calibri" w:cs="Calibri"/>
          <w:color w:val="000000"/>
        </w:rPr>
        <w:t>• Being groomed online or in person</w:t>
      </w:r>
    </w:p>
    <w:p w14:paraId="6E81B81F" w14:textId="77777777" w:rsidR="00BB4E71" w:rsidRDefault="008E6734">
      <w:pPr>
        <w:rPr>
          <w:rFonts w:ascii="Calibri" w:eastAsia="Calibri" w:hAnsi="Calibri" w:cs="Calibri"/>
          <w:color w:val="000000"/>
        </w:rPr>
      </w:pPr>
      <w:r>
        <w:rPr>
          <w:rFonts w:ascii="Calibri" w:eastAsia="Calibri" w:hAnsi="Calibri" w:cs="Calibri"/>
          <w:color w:val="000000"/>
        </w:rPr>
        <w:t>• Exploitation, including sexual exploitation</w:t>
      </w:r>
    </w:p>
    <w:p w14:paraId="0181681D" w14:textId="77777777" w:rsidR="00BB4E71" w:rsidRDefault="008E6734">
      <w:pPr>
        <w:rPr>
          <w:rFonts w:ascii="Calibri" w:eastAsia="Calibri" w:hAnsi="Calibri" w:cs="Calibri"/>
          <w:color w:val="000000"/>
        </w:rPr>
      </w:pPr>
      <w:r>
        <w:rPr>
          <w:rFonts w:ascii="Calibri" w:eastAsia="Calibri" w:hAnsi="Calibri" w:cs="Calibri"/>
          <w:color w:val="000000"/>
        </w:rPr>
        <w:t>• Psychological manipulation</w:t>
      </w:r>
    </w:p>
    <w:p w14:paraId="5C83D4C2" w14:textId="77777777" w:rsidR="00BB4E71" w:rsidRDefault="008E6734">
      <w:pPr>
        <w:rPr>
          <w:rFonts w:ascii="Calibri" w:eastAsia="Calibri" w:hAnsi="Calibri" w:cs="Calibri"/>
          <w:color w:val="000000"/>
        </w:rPr>
      </w:pPr>
      <w:r>
        <w:rPr>
          <w:rFonts w:ascii="Calibri" w:eastAsia="Calibri" w:hAnsi="Calibri" w:cs="Calibri"/>
          <w:color w:val="000000"/>
        </w:rPr>
        <w:t>• Exposure to violent material and other inappropriate information</w:t>
      </w:r>
    </w:p>
    <w:p w14:paraId="48860778" w14:textId="77777777" w:rsidR="00BB4E71" w:rsidRDefault="008E6734">
      <w:pPr>
        <w:rPr>
          <w:rFonts w:ascii="Calibri" w:eastAsia="Calibri" w:hAnsi="Calibri" w:cs="Calibri"/>
          <w:color w:val="000000"/>
        </w:rPr>
      </w:pPr>
      <w:r>
        <w:rPr>
          <w:rFonts w:ascii="Calibri" w:eastAsia="Calibri" w:hAnsi="Calibri" w:cs="Calibri"/>
          <w:color w:val="000000"/>
        </w:rPr>
        <w:t>• The risk of physical harm or death through extremist acts.</w:t>
      </w:r>
    </w:p>
    <w:p w14:paraId="58D96899" w14:textId="77777777" w:rsidR="00BB4E71" w:rsidRDefault="00BB4E71">
      <w:pPr>
        <w:rPr>
          <w:rFonts w:ascii="Calibri" w:eastAsia="Calibri" w:hAnsi="Calibri" w:cs="Calibri"/>
          <w:color w:val="000000"/>
        </w:rPr>
      </w:pPr>
    </w:p>
    <w:p w14:paraId="278EA5E7" w14:textId="77777777" w:rsidR="00BB4E71" w:rsidRDefault="008E6734">
      <w:pPr>
        <w:rPr>
          <w:rFonts w:ascii="Calibri" w:eastAsia="Calibri" w:hAnsi="Calibri" w:cs="Calibri"/>
          <w:color w:val="000000"/>
        </w:rPr>
      </w:pPr>
      <w:r>
        <w:rPr>
          <w:rFonts w:ascii="Calibri" w:eastAsia="Calibri" w:hAnsi="Calibri" w:cs="Calibri"/>
          <w:color w:val="000000"/>
        </w:rPr>
        <w:lastRenderedPageBreak/>
        <w:t xml:space="preserve">Alongside this we will be alert to any early signs in children and families who may be at risk of radicalisation, on which we will act and document all concerns when reporting further. </w:t>
      </w:r>
    </w:p>
    <w:p w14:paraId="267F4D1C" w14:textId="77777777" w:rsidR="00BB4E71" w:rsidRDefault="00BB4E71">
      <w:pPr>
        <w:rPr>
          <w:rFonts w:ascii="Calibri" w:eastAsia="Calibri" w:hAnsi="Calibri" w:cs="Calibri"/>
          <w:color w:val="000000"/>
        </w:rPr>
      </w:pPr>
    </w:p>
    <w:p w14:paraId="7CBDFBDE" w14:textId="77777777" w:rsidR="00BB4E71" w:rsidRDefault="008E6734">
      <w:pPr>
        <w:jc w:val="left"/>
        <w:rPr>
          <w:rFonts w:ascii="Calibri" w:eastAsia="Calibri" w:hAnsi="Calibri" w:cs="Calibri"/>
          <w:color w:val="000000"/>
        </w:rPr>
      </w:pPr>
      <w:r>
        <w:rPr>
          <w:rFonts w:ascii="Calibri" w:eastAsia="Calibri" w:hAnsi="Calibri" w:cs="Calibri"/>
          <w:color w:val="000000"/>
        </w:rPr>
        <w:t>The NSPCC states that signs of radicalisation may be:</w:t>
      </w:r>
    </w:p>
    <w:p w14:paraId="1F74658B" w14:textId="77777777" w:rsidR="00BB4E71" w:rsidRDefault="008E6734">
      <w:pPr>
        <w:numPr>
          <w:ilvl w:val="0"/>
          <w:numId w:val="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isolating themselves from family and friends</w:t>
      </w:r>
    </w:p>
    <w:p w14:paraId="4F683C91" w14:textId="77777777" w:rsidR="00BB4E71" w:rsidRDefault="008E6734">
      <w:pPr>
        <w:numPr>
          <w:ilvl w:val="0"/>
          <w:numId w:val="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talking as if from a scripted speech</w:t>
      </w:r>
    </w:p>
    <w:p w14:paraId="6CE873EB" w14:textId="77777777" w:rsidR="00BB4E71" w:rsidRDefault="008E6734">
      <w:pPr>
        <w:numPr>
          <w:ilvl w:val="0"/>
          <w:numId w:val="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unwillingness or inability to discuss their views</w:t>
      </w:r>
    </w:p>
    <w:p w14:paraId="2CB3F822" w14:textId="77777777" w:rsidR="00BB4E71" w:rsidRDefault="008E6734">
      <w:pPr>
        <w:numPr>
          <w:ilvl w:val="0"/>
          <w:numId w:val="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a sudden disrespectful attitude towards others</w:t>
      </w:r>
    </w:p>
    <w:p w14:paraId="0F42EA46" w14:textId="77777777" w:rsidR="00BB4E71" w:rsidRDefault="008E6734">
      <w:pPr>
        <w:numPr>
          <w:ilvl w:val="0"/>
          <w:numId w:val="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increased levels of anger</w:t>
      </w:r>
    </w:p>
    <w:p w14:paraId="15224292" w14:textId="77777777" w:rsidR="00BB4E71" w:rsidRDefault="008E6734">
      <w:pPr>
        <w:numPr>
          <w:ilvl w:val="0"/>
          <w:numId w:val="3"/>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increased secretiveness, especially around internet use.</w:t>
      </w:r>
    </w:p>
    <w:p w14:paraId="5E6084EC" w14:textId="77777777" w:rsidR="00BB4E71" w:rsidRDefault="00BB4E71">
      <w:pPr>
        <w:rPr>
          <w:rFonts w:ascii="Calibri" w:eastAsia="Calibri" w:hAnsi="Calibri" w:cs="Calibri"/>
        </w:rPr>
      </w:pPr>
    </w:p>
    <w:p w14:paraId="37D8402E" w14:textId="77777777" w:rsidR="00BB4E71" w:rsidRDefault="008E6734">
      <w:pPr>
        <w:jc w:val="left"/>
        <w:rPr>
          <w:rFonts w:ascii="Calibri" w:eastAsia="Calibri" w:hAnsi="Calibri" w:cs="Calibri"/>
          <w:color w:val="000000"/>
        </w:rPr>
      </w:pPr>
      <w:r>
        <w:rPr>
          <w:rFonts w:ascii="Calibri" w:eastAsia="Calibri" w:hAnsi="Calibri" w:cs="Calibri"/>
          <w:color w:val="000000"/>
        </w:rPr>
        <w:t>We will tackle radicalisation by:</w:t>
      </w:r>
    </w:p>
    <w:p w14:paraId="7E22F482" w14:textId="77777777" w:rsidR="00BB4E71" w:rsidRDefault="008E6734">
      <w:pPr>
        <w:numPr>
          <w:ilvl w:val="0"/>
          <w:numId w:val="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 xml:space="preserve">Training all staff to understand what is meant by the Prevent Duty and radicalisation </w:t>
      </w:r>
    </w:p>
    <w:p w14:paraId="1E0B0A3A" w14:textId="77777777" w:rsidR="00BB4E71" w:rsidRDefault="008E6734">
      <w:pPr>
        <w:numPr>
          <w:ilvl w:val="0"/>
          <w:numId w:val="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Ensuring staff understand how to recognise early indicators of potential radicalisation and terrorism threats and act on them appropriately in line with national and local procedures</w:t>
      </w:r>
    </w:p>
    <w:p w14:paraId="2894153C" w14:textId="77777777" w:rsidR="00BB4E71" w:rsidRDefault="008E6734">
      <w:pPr>
        <w:numPr>
          <w:ilvl w:val="0"/>
          <w:numId w:val="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 xml:space="preserve">Make any referrals relating to extremism to the police (or the Government helpline) in a timely way, sharing relevant information as appropriate </w:t>
      </w:r>
    </w:p>
    <w:p w14:paraId="53FF612F" w14:textId="77777777" w:rsidR="00BB4E71" w:rsidRDefault="008E6734">
      <w:pPr>
        <w:numPr>
          <w:ilvl w:val="0"/>
          <w:numId w:val="1"/>
        </w:numPr>
        <w:rPr>
          <w:rFonts w:ascii="Calibri" w:eastAsia="Calibri" w:hAnsi="Calibri" w:cs="Calibri"/>
        </w:rPr>
      </w:pPr>
      <w:r>
        <w:rPr>
          <w:rFonts w:ascii="Calibri" w:eastAsia="Calibri" w:hAnsi="Calibri" w:cs="Calibri"/>
        </w:rPr>
        <w:t>Ensure our nursery is an inclusive environment, tackle inequalities and negative points of view and teach children about tolerance through British Values</w:t>
      </w:r>
    </w:p>
    <w:p w14:paraId="07401F5F" w14:textId="77777777" w:rsidR="00BB4E71" w:rsidRDefault="008E6734">
      <w:pPr>
        <w:numPr>
          <w:ilvl w:val="0"/>
          <w:numId w:val="1"/>
        </w:numPr>
        <w:rPr>
          <w:rFonts w:ascii="Calibri" w:eastAsia="Calibri" w:hAnsi="Calibri" w:cs="Calibri"/>
        </w:rPr>
      </w:pPr>
      <w:r>
        <w:rPr>
          <w:rFonts w:ascii="Calibri" w:eastAsia="Calibri" w:hAnsi="Calibri" w:cs="Calibri"/>
        </w:rPr>
        <w:t>Using the Government document Prevent Duty Guidance for England and Wales.</w:t>
      </w:r>
      <w:r>
        <w:rPr>
          <w:rFonts w:ascii="Calibri" w:eastAsia="Calibri" w:hAnsi="Calibri" w:cs="Calibri"/>
          <w:color w:val="000000"/>
          <w:vertAlign w:val="superscript"/>
        </w:rPr>
        <w:footnoteReference w:id="1"/>
      </w:r>
    </w:p>
    <w:p w14:paraId="42002414" w14:textId="77777777" w:rsidR="00BB4E71" w:rsidRDefault="00BB4E71">
      <w:pPr>
        <w:rPr>
          <w:rFonts w:ascii="Calibri" w:eastAsia="Calibri" w:hAnsi="Calibri" w:cs="Calibri"/>
        </w:rPr>
      </w:pPr>
    </w:p>
    <w:p w14:paraId="1A74DF52" w14:textId="77777777" w:rsidR="00BB4E71" w:rsidRDefault="00BB4E71">
      <w:pPr>
        <w:rPr>
          <w:rFonts w:ascii="Calibri" w:eastAsia="Calibri" w:hAnsi="Calibri" w:cs="Calibri"/>
        </w:rPr>
      </w:pPr>
    </w:p>
    <w:p w14:paraId="10A80E48" w14:textId="77777777" w:rsidR="00BB4E71" w:rsidRDefault="00BB4E71"/>
    <w:sectPr w:rsidR="00BB4E7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7F9A" w14:textId="77777777" w:rsidR="008E6734" w:rsidRDefault="008E6734">
      <w:r>
        <w:separator/>
      </w:r>
    </w:p>
  </w:endnote>
  <w:endnote w:type="continuationSeparator" w:id="0">
    <w:p w14:paraId="1BC932C9" w14:textId="77777777" w:rsidR="008E6734" w:rsidRDefault="008E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F2D9" w14:textId="77777777" w:rsidR="008E6734" w:rsidRDefault="008E6734">
      <w:r>
        <w:separator/>
      </w:r>
    </w:p>
  </w:footnote>
  <w:footnote w:type="continuationSeparator" w:id="0">
    <w:p w14:paraId="7E010375" w14:textId="77777777" w:rsidR="008E6734" w:rsidRDefault="008E6734">
      <w:r>
        <w:continuationSeparator/>
      </w:r>
    </w:p>
  </w:footnote>
  <w:footnote w:id="1">
    <w:p w14:paraId="70F989C9" w14:textId="77777777" w:rsidR="00BB4E71" w:rsidRDefault="008E6734">
      <w:pPr>
        <w:pBdr>
          <w:top w:val="nil"/>
          <w:left w:val="nil"/>
          <w:bottom w:val="nil"/>
          <w:right w:val="nil"/>
          <w:between w:val="nil"/>
        </w:pBdr>
        <w:rPr>
          <w:rFonts w:eastAsia="Arial" w:cs="Arial"/>
          <w:color w:val="000000"/>
          <w:sz w:val="20"/>
          <w:szCs w:val="20"/>
        </w:rPr>
      </w:pPr>
      <w:r>
        <w:rPr>
          <w:rStyle w:val="FootnoteReference"/>
        </w:rPr>
        <w:footnoteRef/>
      </w:r>
      <w:r>
        <w:rPr>
          <w:rFonts w:eastAsia="Arial" w:cs="Arial"/>
          <w:color w:val="000000"/>
          <w:sz w:val="20"/>
          <w:szCs w:val="20"/>
        </w:rPr>
        <w:t xml:space="preserve"> </w:t>
      </w:r>
      <w:hyperlink r:id="rId1">
        <w:r>
          <w:rPr>
            <w:rFonts w:eastAsia="Arial" w:cs="Arial"/>
            <w:color w:val="0000FF"/>
            <w:sz w:val="20"/>
            <w:szCs w:val="20"/>
            <w:u w:val="single"/>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801D0"/>
    <w:multiLevelType w:val="multilevel"/>
    <w:tmpl w:val="8DC43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827230"/>
    <w:multiLevelType w:val="multilevel"/>
    <w:tmpl w:val="E292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3F053A"/>
    <w:multiLevelType w:val="multilevel"/>
    <w:tmpl w:val="6F7E8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1794002">
    <w:abstractNumId w:val="0"/>
  </w:num>
  <w:num w:numId="2" w16cid:durableId="1024750336">
    <w:abstractNumId w:val="2"/>
  </w:num>
  <w:num w:numId="3" w16cid:durableId="152011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71"/>
    <w:rsid w:val="008E6734"/>
    <w:rsid w:val="00BB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3B4078"/>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046"/>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24046"/>
    <w:rPr>
      <w:color w:val="0000FF"/>
      <w:u w:val="single"/>
    </w:rPr>
  </w:style>
  <w:style w:type="paragraph" w:styleId="ListParagraph">
    <w:name w:val="List Paragraph"/>
    <w:basedOn w:val="Normal"/>
    <w:uiPriority w:val="34"/>
    <w:qFormat/>
    <w:rsid w:val="00624046"/>
    <w:pPr>
      <w:ind w:left="720"/>
    </w:pPr>
  </w:style>
  <w:style w:type="paragraph" w:customStyle="1" w:styleId="H1">
    <w:name w:val="H1"/>
    <w:basedOn w:val="Normal"/>
    <w:next w:val="Normal"/>
    <w:qFormat/>
    <w:rsid w:val="00624046"/>
    <w:pPr>
      <w:pageBreakBefore/>
      <w:jc w:val="center"/>
    </w:pPr>
    <w:rPr>
      <w:b/>
      <w:sz w:val="36"/>
    </w:rPr>
  </w:style>
  <w:style w:type="paragraph" w:customStyle="1" w:styleId="MeetsEYFS">
    <w:name w:val="Meets EYFS"/>
    <w:basedOn w:val="Normal"/>
    <w:qFormat/>
    <w:rsid w:val="00624046"/>
    <w:pPr>
      <w:jc w:val="left"/>
    </w:pPr>
    <w:rPr>
      <w:sz w:val="20"/>
    </w:rPr>
  </w:style>
  <w:style w:type="paragraph" w:styleId="FootnoteText">
    <w:name w:val="footnote text"/>
    <w:basedOn w:val="Normal"/>
    <w:link w:val="FootnoteTextChar"/>
    <w:uiPriority w:val="99"/>
    <w:semiHidden/>
    <w:unhideWhenUsed/>
    <w:rsid w:val="00624046"/>
    <w:rPr>
      <w:sz w:val="20"/>
      <w:szCs w:val="20"/>
      <w:lang w:val="x-none"/>
    </w:rPr>
  </w:style>
  <w:style w:type="character" w:customStyle="1" w:styleId="FootnoteTextChar">
    <w:name w:val="Footnote Text Char"/>
    <w:basedOn w:val="DefaultParagraphFont"/>
    <w:link w:val="FootnoteText"/>
    <w:uiPriority w:val="99"/>
    <w:semiHidden/>
    <w:rsid w:val="00624046"/>
    <w:rPr>
      <w:rFonts w:ascii="Arial" w:eastAsia="Times New Roman" w:hAnsi="Arial" w:cs="Times New Roman"/>
      <w:sz w:val="20"/>
      <w:szCs w:val="20"/>
      <w:lang w:val="x-none"/>
    </w:rPr>
  </w:style>
  <w:style w:type="character" w:styleId="FootnoteReference">
    <w:name w:val="footnote reference"/>
    <w:uiPriority w:val="99"/>
    <w:semiHidden/>
    <w:unhideWhenUsed/>
    <w:rsid w:val="0062404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b1xBxtEFlshCER2kbE/vq4RSlw==">CgMxLjAyDWgucDR5Mmt1dDZxZGY4AHIhMUh1VE9tWFdqbEx5ZW8zdmtOODBKVnFLaU9YeV82QXBz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4</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2023-10-06T11:33:00Z</dcterms:created>
  <dcterms:modified xsi:type="dcterms:W3CDTF">2023-10-06T11:33:00Z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